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0"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2"/>
        <w:ind w:left="0" w:right="0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63"/>
        <w:ind w:left="0" w:right="0" w:firstLine="567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"___" 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кционерное общество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Дальневосточная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генерирующая компания» (АО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ДГК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»)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(далее –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_____________________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, действующего на основании ________, с одной стороны, и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0"/>
          <w:sz w:val="24"/>
          <w:szCs w:val="24"/>
        </w:rPr>
      </w:r>
      <w:r>
        <w:rPr>
          <w:rFonts w:ascii="Times New Roman" w:hAnsi="Times New Roman" w:cs="Times New Roman"/>
          <w:spacing w:val="10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Полное наименование Контрагента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 (сокращенное наименование Контрагента)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ее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____________, действующего на основании 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__________________, с другой стороны,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82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совместно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дальнейшем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именуемые Стороны, а по отдельности Сторона,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результатам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проведенной 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конкурентной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процедуры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лоту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№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_____ и на основании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протокола от ______ №______,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заключили настоящий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(далее – «Договор») о нижеследующем: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82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center"/>
        <w:shd w:val="clear" w:color="auto" w:fill="ffffff"/>
        <w:rPr>
          <w:highlight w:val="none"/>
        </w:rPr>
      </w:pPr>
      <w:r>
        <w:rPr>
          <w:b/>
          <w:bCs/>
          <w:sz w:val="24"/>
          <w:szCs w:val="24"/>
          <w:highlight w:val="white"/>
        </w:rPr>
        <w:t xml:space="preserve">Термины и определения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567"/>
        <w:jc w:val="center"/>
        <w:shd w:val="clear" w:color="auto" w:fill="ffffff"/>
        <w:rPr>
          <w:b/>
          <w:bCs/>
          <w:sz w:val="24"/>
          <w:szCs w:val="24"/>
          <w:highlight w:val="white"/>
        </w:rPr>
      </w:pPr>
      <w:r>
        <w:rPr>
          <w:highlight w:val="non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</w:t>
      </w:r>
      <w:r>
        <w:rPr>
          <w:bCs/>
          <w:sz w:val="24"/>
          <w:szCs w:val="24"/>
          <w:highlight w:val="white"/>
        </w:rPr>
        <w:t xml:space="preserve">ующие значения, если иное прямо не указано в Договоре: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lang w:eastAsia="en-US"/>
        </w:rPr>
        <w:t xml:space="preserve">«Акт </w:t>
      </w:r>
      <w:r>
        <w:rPr>
          <w:b/>
          <w:sz w:val="24"/>
          <w:szCs w:val="24"/>
          <w:highlight w:val="white"/>
          <w:lang w:eastAsia="en-US"/>
        </w:rPr>
        <w:t xml:space="preserve">входного контроля»</w:t>
      </w:r>
      <w:r>
        <w:rPr>
          <w:sz w:val="24"/>
          <w:szCs w:val="24"/>
          <w:highlight w:val="white"/>
          <w:lang w:eastAsia="en-US"/>
        </w:rPr>
        <w:t xml:space="preserve"> – документ, оформля</w:t>
      </w:r>
      <w:r>
        <w:rPr>
          <w:sz w:val="24"/>
          <w:szCs w:val="24"/>
          <w:highlight w:val="white"/>
          <w:lang w:eastAsia="en-US"/>
        </w:rPr>
        <w:t xml:space="preserve">емый </w:t>
      </w:r>
      <w:r>
        <w:rPr>
          <w:sz w:val="24"/>
          <w:szCs w:val="24"/>
          <w:highlight w:val="white"/>
          <w:lang w:eastAsia="en-US"/>
        </w:rPr>
        <w:t xml:space="preserve">Покупателем </w:t>
      </w:r>
      <w:r>
        <w:rPr>
          <w:sz w:val="24"/>
          <w:szCs w:val="24"/>
          <w:highlight w:val="white"/>
          <w:lang w:eastAsia="en-US"/>
        </w:rPr>
        <w:t xml:space="preserve">в одностороннем порядке при приемке поставленного Товара </w:t>
      </w:r>
      <w:r>
        <w:rPr>
          <w:sz w:val="24"/>
          <w:szCs w:val="24"/>
          <w:highlight w:val="white"/>
          <w:lang w:eastAsia="en-US"/>
        </w:rPr>
        <w:t xml:space="preserve">по количеству</w:t>
      </w:r>
      <w:r>
        <w:rPr>
          <w:sz w:val="24"/>
          <w:szCs w:val="24"/>
          <w:highlight w:val="white"/>
          <w:lang w:eastAsia="en-US"/>
        </w:rPr>
        <w:t xml:space="preserve">,</w:t>
      </w:r>
      <w:r>
        <w:rPr>
          <w:sz w:val="24"/>
          <w:szCs w:val="24"/>
          <w:highlight w:val="white"/>
          <w:lang w:eastAsia="en-US"/>
        </w:rPr>
        <w:t xml:space="preserve"> качеству</w:t>
      </w:r>
      <w:r>
        <w:rPr>
          <w:sz w:val="24"/>
          <w:szCs w:val="24"/>
          <w:highlight w:val="white"/>
          <w:lang w:eastAsia="en-US"/>
        </w:rPr>
        <w:t xml:space="preserve"> и комплектности</w:t>
      </w:r>
      <w:r>
        <w:rPr>
          <w:sz w:val="24"/>
          <w:szCs w:val="24"/>
          <w:highlight w:val="white"/>
          <w:lang w:eastAsia="en-US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«Гарантийный срок»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– период,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sz w:val="24"/>
          <w:szCs w:val="24"/>
          <w:lang w:eastAsia="en-US"/>
        </w:rPr>
        <w:t xml:space="preserve">и Поставщик и/ или изготовитель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Товара </w:t>
      </w:r>
      <w:r>
        <w:rPr>
          <w:sz w:val="24"/>
          <w:szCs w:val="24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sz w:val="24"/>
          <w:szCs w:val="24"/>
          <w:lang w:eastAsia="en-US"/>
        </w:rPr>
        <w:t xml:space="preserve">Т</w:t>
      </w:r>
      <w:r>
        <w:rPr>
          <w:sz w:val="24"/>
          <w:szCs w:val="24"/>
          <w:lang w:eastAsia="en-US"/>
        </w:rPr>
        <w:t xml:space="preserve">овара.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«Грузополучатели»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Покупатель и/или его структурные подразделения.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«Договор»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настоящий договор, подписанный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Покупателем и Поставщиком, включая все 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«Накладная ТОРГ-12»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документ, оформляе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мый по унифицированной форме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№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ТОРГ-12 «Товарная накладная», утвержденной постановлением Госкомстата РФ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 количеству, качеству и комплектности.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«Отказ от Договора»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1"/>
        <w:ind w:left="0" w:right="0" w:firstLine="567"/>
        <w:jc w:val="both"/>
        <w:keepNext w:val="0"/>
        <w:spacing w:before="0"/>
        <w:tabs>
          <w:tab w:val="left" w:pos="0" w:leader="none"/>
        </w:tabs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en-US"/>
        </w:rPr>
        <w:t xml:space="preserve">«Партия Товара»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характеристики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которой определяются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«Применимое право»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обязательные для Сторон в процес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нормативные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и противопожарной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относящиеся к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«Субъект МСП»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</w:r>
    </w:p>
    <w:p>
      <w:pPr>
        <w:ind w:left="0" w:right="0" w:firstLine="567"/>
        <w:jc w:val="both"/>
        <w:tabs>
          <w:tab w:val="left" w:pos="0" w:leader="none"/>
        </w:tabs>
        <w:rPr>
          <w:sz w:val="24"/>
          <w:szCs w:val="24"/>
          <w:highlight w:val="none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«Цена Договора»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2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Договора сумма,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которую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обязуется уплатить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в порядке и на условиях, установленных </w:t>
      </w:r>
      <w:r>
        <w:rPr>
          <w:sz w:val="24"/>
          <w:szCs w:val="24"/>
          <w:lang w:eastAsia="en-US"/>
        </w:rPr>
        <w:t xml:space="preserve">Договором</w:t>
      </w:r>
      <w:r>
        <w:rPr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</w:p>
    <w:p>
      <w:pPr>
        <w:pStyle w:val="863"/>
        <w:ind w:left="0" w:right="0" w:firstLine="567"/>
        <w:jc w:val="both"/>
        <w:tabs>
          <w:tab w:val="left" w:pos="11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64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порядке и сроки, установленные Договором,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передать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собственность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4"/>
          <w:szCs w:val="24"/>
          <w:u w:val="none"/>
          <w:vertAlign w:val="baseline"/>
        </w:rPr>
        <w:t xml:space="preserve">шины и камеры для легковых  и грузовых автомобилей и спецтранспорта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алее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Товар)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Покупатель обязуется принять Товар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уплатить Цену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осуществляется партиями по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со Спецификацией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форме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№2 к Договору (далее – Заявка)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авляем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сроки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установленн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пунктом 3.1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Наименование, ассортимент и количество Товара,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Грузополучатели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указыва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Спецификации.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Общий 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рок поставки Товара: с даты заключения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31.12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2026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поставки Товара (партии Товара) по заявке составляет: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45 (сорок пять)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календарных дней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 получения заявки от Покупателя.</w:t>
        <w:tab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Цена </w:t>
      </w:r>
      <w:r>
        <w:rPr>
          <w:rFonts w:ascii="Times New Roman" w:hAnsi="Times New Roman" w:cs="Times New Roman"/>
          <w:b/>
          <w:bCs/>
        </w:rPr>
        <w:t xml:space="preserve">договора и порядок расчетов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64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</w:rPr>
        <w:t xml:space="preserve">2.1. </w:t>
      </w:r>
      <w:r>
        <w:rPr>
          <w:sz w:val="24"/>
          <w:szCs w:val="24"/>
        </w:rPr>
        <w:t xml:space="preserve">Цена Договора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является предельной и составляет </w:t>
      </w:r>
      <w:r>
        <w:rPr>
          <w:sz w:val="24"/>
          <w:szCs w:val="24"/>
        </w:rPr>
        <w:t xml:space="preserve">_______</w:t>
      </w:r>
      <w:r>
        <w:rPr>
          <w:bCs/>
          <w:sz w:val="24"/>
          <w:szCs w:val="24"/>
        </w:rPr>
        <w:t xml:space="preserve"> (</w:t>
      </w:r>
      <w:r>
        <w:rPr>
          <w:sz w:val="24"/>
          <w:szCs w:val="24"/>
        </w:rPr>
        <w:t xml:space="preserve">_____</w:t>
      </w:r>
      <w:r>
        <w:rPr>
          <w:sz w:val="24"/>
          <w:szCs w:val="24"/>
        </w:rPr>
        <w:t xml:space="preserve">_____</w:t>
      </w:r>
      <w:r>
        <w:rPr>
          <w:bCs/>
          <w:sz w:val="24"/>
          <w:szCs w:val="24"/>
        </w:rPr>
        <w:t xml:space="preserve">) рублей </w:t>
      </w:r>
      <w:r>
        <w:rPr>
          <w:sz w:val="24"/>
          <w:szCs w:val="24"/>
        </w:rPr>
        <w:t xml:space="preserve">___</w:t>
      </w:r>
      <w:r>
        <w:rPr>
          <w:bCs/>
          <w:sz w:val="24"/>
          <w:szCs w:val="24"/>
        </w:rPr>
        <w:t xml:space="preserve"> копеек</w:t>
      </w:r>
      <w:r>
        <w:rPr>
          <w:bCs/>
          <w:sz w:val="24"/>
          <w:szCs w:val="24"/>
        </w:rPr>
        <w:t xml:space="preserve">, в том числе </w:t>
      </w:r>
      <w:r>
        <w:rPr>
          <w:bCs/>
          <w:sz w:val="24"/>
          <w:szCs w:val="24"/>
        </w:rPr>
        <w:t xml:space="preserve">НДС</w:t>
      </w:r>
      <w:r>
        <w:rPr>
          <w:bCs/>
          <w:sz w:val="24"/>
          <w:szCs w:val="24"/>
        </w:rPr>
        <w:t xml:space="preserve"> (22 %) составляет _______ (_________) рублей ___ копеек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2.2. Цена за единицу Товара определяется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Спецификации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соответствии </w:t>
      </w:r>
      <w:r>
        <w:rPr>
          <w:rFonts w:ascii="Times New Roman" w:hAnsi="Times New Roman" w:eastAsia="Times New Roman" w:cs="Times New Roman"/>
          <w:sz w:val="24"/>
        </w:rPr>
        <w:t xml:space="preserve">с условиями проведенной конкурентной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является фиксированной в течение всего срока действия 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Общая стоимость Товара (всех партий Товара), указанного в Заявках, оформленных Покупателем в течение срока действия Договора,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ену Договора, указанную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2.1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2.3. Цена Договора включает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себя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прибыль Поставщика,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затраты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Поставщика на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роизводство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приобретение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ранспортировку Товара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еста поставки, погрузку, разгру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зку, стоимость тары и упаковки;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одлежащие уплате налоги, сборы 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пошлины (в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числе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таможенному оформлению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если применимо)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з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аработную плату, накладные 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командировочные 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персонала Поставщика;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64"/>
        <w:ind w:left="0" w:right="0" w:firstLine="567"/>
        <w:jc w:val="both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2.4. Изменение цены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  <w:t xml:space="preserve">2.5. </w:t>
      </w:r>
      <w:r>
        <w:rPr>
          <w:rFonts w:ascii="Times New Roman" w:hAnsi="Times New Roman" w:cs="Times New Roman"/>
        </w:rPr>
        <w:t xml:space="preserve">Порядок оплаты Товара: в размере 100% стоимости поставленного Товара производится по факту поставки в течение 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сем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рабочих</w:t>
      </w:r>
      <w:r>
        <w:rPr>
          <w:rFonts w:ascii="Times New Roman" w:hAnsi="Times New Roman" w:cs="Times New Roman"/>
        </w:rPr>
        <w:t xml:space="preserve"> дней с даты подписания Покупателем (грузополучателем) </w:t>
      </w:r>
      <w:r>
        <w:rPr>
          <w:rFonts w:ascii="Times New Roman" w:hAnsi="Times New Roman" w:cs="Times New Roman"/>
        </w:rPr>
        <w:t xml:space="preserve">УПД при наличии </w:t>
      </w:r>
      <w:r>
        <w:rPr>
          <w:rFonts w:ascii="Times New Roman" w:hAnsi="Times New Roman" w:cs="Times New Roman"/>
        </w:rPr>
        <w:t xml:space="preserve">акта входного контроля.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 xml:space="preserve">2.6. Индексация цены Договора не предусм</w:t>
      </w:r>
      <w:r>
        <w:rPr>
          <w:rFonts w:ascii="Times New Roman" w:hAnsi="Times New Roman" w:eastAsia="Times New Roman" w:cs="Times New Roman"/>
          <w:color w:val="000000"/>
        </w:rPr>
        <w:t xml:space="preserve">отрена.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2.7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Расчеты по Договор</w:t>
      </w:r>
      <w:r>
        <w:rPr>
          <w:rFonts w:ascii="Times New Roman" w:hAnsi="Times New Roman" w:eastAsia="Times New Roman" w:cs="Times New Roman"/>
        </w:rPr>
        <w:t xml:space="preserve">у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осуществляются </w:t>
      </w:r>
      <w:r>
        <w:rPr>
          <w:rFonts w:ascii="Times New Roman" w:hAnsi="Times New Roman" w:eastAsia="Times New Roman" w:cs="Times New Roman"/>
        </w:rPr>
        <w:t xml:space="preserve">в валюте Российской Федерации. </w:t>
      </w:r>
      <w:r>
        <w:rPr>
          <w:rFonts w:ascii="Times New Roman" w:hAnsi="Times New Roman" w:eastAsia="Times New Roman" w:cs="Times New Roman"/>
        </w:rPr>
        <w:t xml:space="preserve"> Оплата производится путем перечисления денежных средств на расчетный счет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, указанный в Договоре.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Обязательства по оплате Товара </w:t>
      </w:r>
      <w:r>
        <w:rPr>
          <w:rFonts w:ascii="Times New Roman" w:hAnsi="Times New Roman" w:eastAsia="Times New Roman" w:cs="Times New Roman"/>
        </w:rPr>
        <w:t xml:space="preserve">считаются выполненными с даты списания денежных средств с расчетного счета </w:t>
      </w:r>
      <w:r>
        <w:rPr>
          <w:rFonts w:ascii="Times New Roman" w:hAnsi="Times New Roman" w:eastAsia="Times New Roman" w:cs="Times New Roman"/>
        </w:rPr>
        <w:t xml:space="preserve">Покупателя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  <w:t xml:space="preserve">2.8.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представить Покупателю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(или универсальные передаточные документы – далее УПД)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нарушения Поставщиком данного требования, он обязан произвести замену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3 (трех) 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бочих дней с даты получения соответствующего письменного требования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567"/>
        <w:jc w:val="both"/>
        <w:shd w:val="clear" w:color="auto" w:fill="ffffff"/>
        <w:tabs>
          <w:tab w:val="left" w:pos="0" w:leader="none"/>
          <w:tab w:val="left" w:pos="567" w:leader="none"/>
          <w:tab w:val="left" w:pos="716" w:leader="none"/>
          <w:tab w:val="left" w:pos="1134" w:leader="none"/>
        </w:tabs>
        <w:rPr>
          <w:sz w:val="24"/>
          <w:szCs w:val="24"/>
          <w:highlight w:val="lightGray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u w:val="none"/>
        </w:rPr>
        <w:t xml:space="preserve">2.9.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Покупатель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вправе произвести сальдо взаимных обязательств сторон путем уменьшения сумм причитающихся Поставщику платежей по Договору, а также по взаимосвязанным договорам (цепочке договоров), в рамках единого комплекса хозяйственных взаимоотношений сторон, направленн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ых на исполнение Договора, на суммы задолженности Поставщика перед Покупателем, в том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 по Договору, стоимость работ по устранению недостатков </w:t>
      </w:r>
      <w:r>
        <w:rPr>
          <w:sz w:val="24"/>
        </w:rPr>
        <w:t xml:space="preserve">Товара, поставленного Поставщиком.</w: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pStyle w:val="887"/>
        <w:ind w:left="0" w:right="0" w:firstLine="567"/>
        <w:jc w:val="both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направляет </w:t>
      </w:r>
      <w:r>
        <w:rPr>
          <w:sz w:val="24"/>
          <w:szCs w:val="24"/>
        </w:rPr>
        <w:t xml:space="preserve">Поставщику</w:t>
      </w:r>
      <w:r>
        <w:rPr>
          <w:sz w:val="24"/>
          <w:szCs w:val="24"/>
        </w:rPr>
        <w:t xml:space="preserve"> уведомление о проведении сальдо взаимных обязательств Сторон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2.10. </w:t>
      </w:r>
      <w:r>
        <w:rPr>
          <w:szCs w:val="24"/>
        </w:rPr>
        <w:t xml:space="preserve">Обеспечительный платеж исполнения обязательств по Договору, </w:t>
      </w:r>
      <w:r>
        <w:rPr>
          <w:szCs w:val="24"/>
        </w:rPr>
        <w:t xml:space="preserve">в</w:t>
      </w:r>
      <w:r>
        <w:rPr>
          <w:szCs w:val="24"/>
        </w:rPr>
        <w:t xml:space="preserve"> размере 5% (НДС не облагается) от цены Договора, в соответствие с опубликованным протоколом по выбору победителя внесенный Поставщиком на расчетный счет Покупателя 407 028 102 700 000 088 18, ДАЛЬНЕВОСТОЧНЫЙ БАНК ПАО СБЕРБАНК, БИК 040813608, Кор. счет 301</w:t>
      </w:r>
      <w:r>
        <w:rPr>
          <w:szCs w:val="24"/>
        </w:rPr>
        <w:t xml:space="preserve"> </w:t>
      </w:r>
      <w:r>
        <w:rPr>
          <w:szCs w:val="24"/>
        </w:rPr>
        <w:t xml:space="preserve">018 106 000 000 006 08, в течении 10 (десяти) календарных дней с даты официальной публикации протокола по выбору победителя в Единой информационной системе в сфере закупок (www.zakupki.gov.ru), подлежит возврату Поставщику в течение 70 (семьдесят) календар</w:t>
      </w:r>
      <w:r>
        <w:rPr>
          <w:szCs w:val="24"/>
        </w:rPr>
        <w:t xml:space="preserve">н</w:t>
      </w:r>
      <w:r>
        <w:rPr>
          <w:szCs w:val="24"/>
        </w:rPr>
        <w:t xml:space="preserve">ых дней с даты полного исполнения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</w:t>
      </w:r>
      <w:r>
        <w:rPr>
          <w:szCs w:val="24"/>
        </w:rPr>
        <w:t xml:space="preserve">м обязательств по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 случае неисполнения Поставщиком обязательств по поставке Товара надлежащего качества, в объеме и в сроки, указанные в Договоре, Покупатель вправе удержать из обеспечительного платежа сумму начисленной Поставщику неустойки (пеней и штрафов), установленн</w:t>
      </w:r>
      <w:r>
        <w:rPr>
          <w:szCs w:val="24"/>
        </w:rPr>
        <w:t xml:space="preserve">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том случае, если сумма неустойки (пеней и штрафов) установленных Договором и (или) сумма убытков в связи с ненадлежащим исполнением Поставщиком обязательств по договору не покрывается в полном объеме суммой обеспечительного платежа, то Поставщик обязан оп</w:t>
      </w:r>
      <w:r>
        <w:rPr>
          <w:szCs w:val="24"/>
        </w:rPr>
        <w:t xml:space="preserve">латить на р/счет Покупателя разницу, в течении 10-ти дней с момента получения претензии с требованием об оплате.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случае выбора Поставщиком обеспечения исполнения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срок, установленный Документацией о з</w:t>
      </w:r>
      <w:r>
        <w:rPr>
          <w:szCs w:val="24"/>
        </w:rPr>
        <w:t xml:space="preserve">а</w:t>
      </w:r>
      <w:r>
        <w:rPr>
          <w:szCs w:val="24"/>
        </w:rPr>
        <w:t xml:space="preserve">купке, отвечающую требованиям, указанным в приложениях №3, №3.1, №3.2 к настоящему Договору, на сумму 5% (НДС не облагается) от цены Договора, в соответствие с опубликованным протоколом по выбору победителя), по акту приема-передачи по форме, согласно прил</w:t>
      </w:r>
      <w:r>
        <w:rPr>
          <w:szCs w:val="24"/>
        </w:rPr>
        <w:t xml:space="preserve">ожению № 4 к настоящему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Исполнение Поставщиком обязательств по договору обеспечивается независимой гарантией № ХХХХХХХХ от ХХ.ХХ.ХХХХ года, выданной ХХХ «ХХХХХХХХ».</w:t>
      </w:r>
      <w:r/>
    </w:p>
    <w:p>
      <w:p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и условия поставки</w:t>
      </w:r>
      <w:r>
        <w:rPr>
          <w:rFonts w:ascii="Times New Roman" w:hAnsi="Times New Roman" w:cs="Times New Roman"/>
          <w:b/>
          <w:bCs/>
        </w:rPr>
        <w:t xml:space="preserve"> Товара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64"/>
        <w:ind w:left="0" w:right="0"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64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 </w:t>
      </w:r>
      <w:r>
        <w:rPr>
          <w:rFonts w:ascii="Times New Roman" w:hAnsi="Times New Roman" w:cs="Times New Roman"/>
        </w:rPr>
        <w:t xml:space="preserve">Поставка Товара (партии Товара) осуществляется по Заявке в следующем порядке:</w:t>
      </w:r>
      <w:r>
        <w:rPr>
          <w:rFonts w:ascii="Times New Roman" w:hAnsi="Times New Roman" w:cs="Times New Roman"/>
        </w:rPr>
      </w:r>
      <w:r/>
    </w:p>
    <w:p>
      <w:pPr>
        <w:pStyle w:val="864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3.1.1.</w:t>
        <w:tab/>
        <w:t xml:space="preserve">Покупатель,   в срок не позднее 45 (сорок пять) календарных дней до предполагаемой даты поставки Товара (партии Товара)   направляет Поставщику Заявку</w:t>
      </w:r>
      <w:r>
        <w:rPr>
          <w:rFonts w:ascii="Times New Roman" w:hAnsi="Times New Roman" w:cs="Times New Roman"/>
        </w:rPr>
        <w:t xml:space="preserve"> по электронной почте на адрес: _______________.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3.1.2.</w:t>
        <w:tab/>
        <w:t xml:space="preserve">Поставщик в течение 1 (одного) рабочего дня с даты получения Заявки подтверждает поставку Товара (партии Товара), указанного Покупателем в Заявке, по электронной почте на адрес: ____________.</w:t>
      </w:r>
      <w:r>
        <w:rPr>
          <w:rFonts w:ascii="Times New Roman" w:hAnsi="Times New Roman" w:cs="Times New Roman"/>
        </w:rPr>
      </w:r>
      <w:r/>
    </w:p>
    <w:p>
      <w:pPr>
        <w:pStyle w:val="864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3.1.3.</w:t>
        <w:tab/>
        <w:t xml:space="preserve">В случае невозможности поставить Товар (партию Товара) по Заявке Поставщик обязан незамедлительно известить об этом Покупателя с указанием причин невозможности выполнения поставки Товара и сроков их устранения. </w:t>
      </w:r>
      <w:r>
        <w:rPr>
          <w:rFonts w:ascii="Times New Roman" w:hAnsi="Times New Roman" w:cs="Times New Roman"/>
        </w:rPr>
      </w:r>
      <w:r/>
    </w:p>
    <w:p>
      <w:pPr>
        <w:pStyle w:val="864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3.1.4.</w:t>
        <w:tab/>
        <w:t xml:space="preserve">В случае, указанном в пункте 3.1.3 Договора, Покупатель вправе по своему усмотрению:</w:t>
      </w:r>
      <w:r>
        <w:rPr>
          <w:rFonts w:ascii="Times New Roman" w:hAnsi="Times New Roman" w:cs="Times New Roman"/>
        </w:rPr>
      </w:r>
      <w:r/>
    </w:p>
    <w:p>
      <w:pPr>
        <w:pStyle w:val="864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3.1.4.1. Направить новую Заявку в порядке, установленном пунктом 3.1.1 Договора в согласованные с Поставщиком сроки; </w:t>
      </w:r>
      <w:r>
        <w:rPr>
          <w:rFonts w:ascii="Times New Roman" w:hAnsi="Times New Roman" w:cs="Times New Roman"/>
        </w:rPr>
      </w:r>
      <w:r/>
    </w:p>
    <w:p>
      <w:pPr>
        <w:pStyle w:val="864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3.1.4.2. Отказаться от Договора в порядке, установленном пунктом 11.2 Договора.</w:t>
      </w:r>
      <w:r>
        <w:rPr>
          <w:rFonts w:ascii="Times New Roman" w:hAnsi="Times New Roman" w:cs="Times New Roman"/>
        </w:rPr>
      </w:r>
      <w:r/>
    </w:p>
    <w:p>
      <w:pPr>
        <w:pStyle w:val="864"/>
        <w:ind w:left="0" w:right="0"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3.1.5.</w:t>
        <w:tab/>
        <w:t xml:space="preserve">Стороны вправе запросить друг у друга необходимые дополнительные сведения для поставки Товара по Заявке.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  <w:t xml:space="preserve">3.2. </w:t>
      </w:r>
      <w:r>
        <w:rPr>
          <w:rFonts w:ascii="Times New Roman" w:hAnsi="Times New Roman" w:cs="Times New Roman"/>
          <w:highlight w:val="none"/>
        </w:rPr>
        <w:t xml:space="preserve">Качество, комплектность, количество и ассортимент поставляемого по Договору Товара должны соответствовать Заявке, требованиям Договора, а также Применимого права. Некачественный (некомплектный) Товар считается не поставленным.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Приемка и оценка качества Товара осуществляется в полном соответствии с ГОСТ, ТУ и обязательными требованиями, предъявляемыми к качеству поставляемого Товара.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Одновременно с передачей Товара Поставщик обязан передать Покупателю оригиналы следующих относящихся к Товару документов: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</w:t>
        <w:tab/>
        <w:t xml:space="preserve">сертификат качества в 1 (один) экз.;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</w:t>
        <w:tab/>
        <w:t xml:space="preserve">технический паспорт на русском языке в   1 (один) экз.;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</w:t>
        <w:tab/>
        <w:t xml:space="preserve">инструкция по эксплуатации на русском языке в  1 (один) экз.;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</w:t>
        <w:tab/>
        <w:t xml:space="preserve">упаковочный лист в 1 (один)  экз.;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</w:t>
        <w:tab/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и т.п.) в зависимости от номенклатуры поставляемого Товара;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</w:t>
        <w:tab/>
        <w:t xml:space="preserve">накладная ТОРГ-12/ или УПД в 2х (двух) экз.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этих документов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Покупатель вправе остановить приемку Товара, до момента их предоставления Поставщиком..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 должен отгружаться Поставщиком в таре и упаковке, обеспечивающей полную сохранность Товара от всякого рода повреждений и порчи, с учетом возможных перегрузок и длительного хранения,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предохранять поставляемый Товар от внеш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них воздействий по ГОСТ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23216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Поставщик обязан сообщить Покупателю условия длительного хранени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 поставленного Товара (допускается определение условий хранения в сопроводительных документах). 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Тара и упаковка Товара должны соответствовать требованиям Применимого права, предъявляемым к таре и упаковке соответствующего Товара.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Стоимость тары и упаковки включена в стоимость Товара. Тара и упаковка возврату не подлежат.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Транспортная маркировка должна содержать манипуляционные знаки, основные, дополнительные и информационные надписи по ГОСТ 14192.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Погрузка, доставка и разгрузка Товара осуществляется Поставщиком. Стоимость погрузки, доставки и разгрузки Товара включена в Цену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Транспорт</w:t>
      </w:r>
      <w:r>
        <w:rPr>
          <w:rFonts w:ascii="Times New Roman" w:hAnsi="Times New Roman" w:cs="Times New Roman"/>
          <w:sz w:val="24"/>
          <w:szCs w:val="24"/>
        </w:rPr>
        <w:t xml:space="preserve"> Поставщика (Перевозчика) должен прибыть под разгрузку в адрес Грузополучателя с 10 час. 00 мин. до 15 час. 00 мин. (время местное) в рабочие дни, в противном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. В случае поставки Товара, не обусловленного настоящим </w:t>
      </w: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оговором, либо поставки Товара по цене, превышающей согласованную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Пок</w:t>
      </w:r>
      <w:r>
        <w:rPr>
          <w:rFonts w:ascii="Times New Roman" w:hAnsi="Times New Roman" w:cs="Times New Roman"/>
          <w:sz w:val="24"/>
          <w:szCs w:val="24"/>
        </w:rPr>
        <w:t xml:space="preserve">упатель вправе отказаться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затраты, связанные с хранением, отправкой (продажей) Товара</w:t>
      </w:r>
      <w:r>
        <w:rPr>
          <w:rFonts w:ascii="Times New Roman" w:hAnsi="Times New Roman" w:cs="Times New Roman"/>
          <w:sz w:val="24"/>
          <w:szCs w:val="24"/>
        </w:rPr>
        <w:t xml:space="preserve"> возмещает Поставщик.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3.9. </w:t>
      </w:r>
      <w:r>
        <w:rPr>
          <w:rFonts w:ascii="Times New Roman" w:hAnsi="Times New Roman" w:cs="Times New Roman"/>
          <w:sz w:val="24"/>
          <w:szCs w:val="24"/>
        </w:rPr>
        <w:t xml:space="preserve">По настоящему договору у Покупателя не в</w:t>
      </w:r>
      <w:r>
        <w:rPr>
          <w:rFonts w:ascii="Times New Roman" w:hAnsi="Times New Roman" w:cs="Times New Roman"/>
          <w:sz w:val="24"/>
          <w:szCs w:val="24"/>
        </w:rPr>
        <w:t xml:space="preserve">озникает обязанности выкупить весь объем Товара на всю сумму договора. В отношении Товара на поставку которого от Покупателя не поступила заявка в течение срока действия договора, обязательства сторон прекращаются с истечением срока действия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3.10.</w:t>
        <w:tab/>
        <w:t xml:space="preserve">Датой поставки Товара является дата подписания Сторонами Накладной ТОРГ-12  или УПД, при наличии Акта входного контроля.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.11.</w:t>
        <w:tab/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 поставляется российский Товар, при этом качество, технические и функциональные характеристики (потреби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3.12.</w:t>
        <w:tab/>
        <w:t xml:space="preserve">Право собственности на Товар, а также риск его случайной гибели или случайного повреждения переходит от Поставщика к Покупателю с даты подписания Сторонами Накладной ТОРГ-12/ или УПД.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4.</w:t>
        <w:tab/>
        <w:t xml:space="preserve">Порядок и условия приемки Товара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Инструкцией Госарбитража при Совете Министров СССР от 25.04.1966 № П-7 в их последних редакциях, в час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ти не урегулированной Договором и не противоречащей действующему законодательству Российской Федерации.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Покупатель обязан проверить количество и качество принятого Товара, проверить соответствие Товара сведениям, указанным в транспортных и сопроводительных документах, а также принять Товар от транспортной организации с соблюдением законов, правил и иных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правовых актов, регулирующих деятельность транспорта.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4.3.</w:t>
        <w:tab/>
        <w:t xml:space="preserve">Приемка Товара производится 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В случае обнаружения внутри тары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уведомить об этом Поставщика.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двустороннего акта, если иной спо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соб и сроки не согласованы Сторонами. После устранения недостатков, несоответствий и/ или дефектов Товара его приемка осуществляется в соответствии с настоящим разделом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В случае неисполнения Поставщиком обязательств по устранению выявленных недостатков, несоответствий и/ или дефектов Товара в порядке, предусмотренном пунктом 4.4 Договора, Покупатель вправе отказаться от приемки Товара, направив соответствующее письмен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ное уведомление Поставщику.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Если Покупатель отказывается от переданного Поставщиком Товара, он обязан незамедлительно письменно уведомить Поставщика о выявленных несоответствиях или недостатках Товара и обеспечить сохранность Товара (ответственное хранение). Вызов представителя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оставщика для участия в продолжении приемки Товара и составлении двустороннего акта необязателен.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.7.</w:t>
        <w:tab/>
        <w:t xml:space="preserve">Поставщик обязан вывезти Товар, принятый Покупателем (Грузополучателем) на ответственное хранение, или распорядиться им в течение 2 (двух) суток. Если Поставщик в этот срок не распорядится Товаром, Покупатель вправе реализовать его или возвратить Поста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щику. Расходы, понесенные Покупателем в связи с принятием Товара на ответственное хранение, его реализацией или возвратом Поставщику, подлежат возмещению Поставщиком. При этом вырученное от реализации Товара передается Поставщику за вычетом причитающегося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Покупателю.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просрочке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поставки Товара по Заявке.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5.</w:t>
        <w:tab/>
        <w:t xml:space="preserve">Гарантийный срок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5.1.</w:t>
        <w:tab/>
        <w:t xml:space="preserve">Гарантийный срок на Товар, поставленный по Договору, составляет: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менее 12 (двенадцать) календарных месяцев с даты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подписания Сторонами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акладной ТОРГ-12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Гарантийный срок может быть продлен в соответстви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с условиями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5.2.</w:t>
        <w:tab/>
        <w:t xml:space="preserve">Установленный в отношении Товара гарантийный срок распространяется на все составные части и комплектующие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течение Гарантийного срока Поставщик гарантирует соответствие качества Товара требованиям Договора, технического паспорта и иных документов, относящихся к Товару, и Применимого права, возможность эксплуатации (использования) Товара в соответствии с 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целевым назначением, а также несет безусловную ответственность за обнаруженные недостатки, несоответствия и/ или дефекты Товара, если не докажет, что такие недостатки, несоответствия и/ или дефекты явились следствием несоблюдения Покупателем требований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использованию Товара, установленных в инструкциях и иных документах, переданных Покупателю в соответствии с пунктом 3.5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В случае обнаружения в течение Гарантийного срока недостатков, несоответствий и/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ный срок на их устранение. Поставщик, в случае наличия разногласий, в течение 3 (трех) 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или дефектах. Если к указанному в настоящем пункте сроку представитель Поставщика не прибудет, Акт о недостатках, несоответствиях и/ или дефектах будет составлен Покупателем в одностороннем порядке и будет признан Сторонами действительным.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Поставщик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в срок, указанный Покупателем в соответствии с пунктом 5.3 Договора, путем замены или ремон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та Товара.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странение недостатков путем ремонта Товара может осуществляться только по письменному согласованию с Покупателем. Поставщик вправе по согласованию с Покупателем вместо замены Товара возвратить Покупателю его стоимость. Вывоз Товара для целей устранения нед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остатков (дефектов) осуществляется силами Поставщика и за его счет.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Если Поставщик не устранит недостатки (дефекты) Товара в установленный Покупателем срок, Покупатель вправе устранить их собственными силами или силами третьих лиц, с отнесением на Поставщика соответствующих расходов. Поставщик обязан возместить расходы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Покупателя на устранение недостатков, несоответствий и/ или дефектов Товара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.7.</w:t>
        <w:tab/>
        <w:t xml:space="preserve">Гарантийный срок на Товар увеличивается на тот период времени, в течение которого Покупатель не мог эксплуатировать (использовать) Товар вследствие его недостатков (дефектов). Гарантийный срок на замененную или отремонтированную единицу Товара устанавл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ивается продолжительностью, указанной в пункте 5.1 Договора, и начинает исчисляться заново с даты приемки Покупателем замененной единицы Товара или работ по устранению недостатков (дефектов).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Устранение недостатков, несоответствий и / или дефектов Товара или возврат его стоимости, в том числе в рамках срока, установленного в соответствии с пунктом 5.3 Договора, не освобождает Поставщика от обязанности возмещения убытков, причиненных Покупат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елю вследствие наличия таких недостатков (дефектов).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6.</w:t>
        <w:tab/>
        <w:t xml:space="preserve">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освобождают Стороны от ответстве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В случае нарушения Покупателем сроков оплаты, установленных разделом 2 Договора, Поставщик вправе требовать уплаты Покупателем исключительной неустойки в размере 0,1 (ноль целых и одна десятая) процента от несвоевременно оплаченной суммы за каждый день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просрочки, начиная с 31 (тридцать первого) календарного дня просрочки (неустойка с 1 по 30 день просрочки не начисляется).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6.3.</w:t>
        <w:tab/>
        <w:t xml:space="preserve">В случае нарушения Поставщиком обязательств по поставке Товара (нарушение срока поставки, недопоставка), в том числе сроков, установленных в Заявке, Покупатель вправе потребовать уплаты Поставщиком: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- неустойки в размере 0,1 (ноль целых и одна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десятая) процента от цены несвоевременно поставленного (не поставленного) Товара за каждый день просрочки – в случае, когда нарушение не привело к изменению срока поставки Товара по другой заявке;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- неустойки в размере 0,2 (ноль целых и две десятых)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роцента от цены несвоевременно поставленного (не поставленного) Товара за каждый день просрочки – в случае, когда нарушение привело к изменению срока поставки  Товара по другой заявке.       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несвоевременного устранения Поставщиком выявл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енных недостатков Товара, Покупатель вправе потребовать уплаты Поставщиком неустойки в размере 0,1 (ноль целых и одна десятая) процента от стоимости некачественного Товара за каждый день просрочки.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6.4.</w:t>
        <w:tab/>
        <w:t xml:space="preserve">В случае поступления Товара, не соответствующего сведениям о стране происхождения Товара, согласованной в Договоре, Покупатель вправе взыскать с Поставщика штраф в размере 10% от стоимости поставленного Товара, не соответствующего сведениям.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Если в результате составления и выставления Поставщиком счетов-фактур/ или УПД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по такому осно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анию сумм налога на добавленную стоимость,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нарушения Поставщиком сроков предоставления счетов-фактур/ или УПД, установленных пунктом 2.8 Договора, Покупатель вправе требовать уплаты Поставщиком штрафа в размере 50 000 (Пятидесяти тысяч) рублей за каждый случай нарушения.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6.6.</w:t>
        <w:tab/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6.7.</w:t>
        <w:tab/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Учитывая, что для Покупателя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бо ненадлежащего исполнения Поставщиком соответствующих обязательств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.9.</w:t>
        <w:tab/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.10.</w:t>
        <w:tab/>
        <w:t xml:space="preserve">В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также вправе возвратить Поставщику Товар, ранее принятый по Договору, и потребовать </w:t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.11.</w:t>
        <w:tab/>
        <w:t xml:space="preserve">За непредставлен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ие либо несвоевременное предоставление / переоформление Поставщиком банковских / независимых гарантий, предусмотренных Договором, в соответствии с Приложениями № 3, 3.1, 3.2 к настоящему Договору, Покупатель  вправе потребовать уплаты Поставщиком неустойки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размере 0,03 (ноль целых и три сотых) процента от цены Договора за каждый день просрочки.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7.</w:t>
        <w:tab/>
        <w:t xml:space="preserve">Антикоррупционная оговорка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предлагали и не разрешали выплату денежных средств,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взятки, коммерческий под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Соответствующее подтвер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ситуаций. Стороны га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итогах рассмотрения уведомления о нарушении, другая Сторона имеет право отказаться от Договора в одностороннем 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</w:t>
        <w:tab/>
        <w:t xml:space="preserve">Каналы связи Линия доверия Группы РусГидро: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7.7.1.</w:t>
        <w:tab/>
        <w:t xml:space="preserve">Электронная почта: ld@rushydro.ru;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7.7.2.</w:t>
        <w:tab/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7.7.3.</w:t>
        <w:tab/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  <w:t xml:space="preserve">8.</w:t>
        <w:tab/>
        <w:t xml:space="preserve">Обстоятельства непреодолимой силы (форс-мажор)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8.2.</w:t>
        <w:tab/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Надлежащим (достаточным) доказательством наличия/ возникновения и продолжительности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рона ссылается в качестве обстоятельств непреодолимой силы (форс-мажора).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ение обязательств по Договору.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9.</w:t>
        <w:tab/>
        <w:t xml:space="preserve">Особые положения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пункте 9.1 Договора, а также обеспечить прекращение участия таких организаций в исполне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нии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нарушения Поставщиком обязательств, установленных пунктами 9.1, 9.2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казе от Договора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ной в уведомлении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оржения.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Поставщик обязан 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тановленных пунктами 9.1, 9.2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Штраф, предусмотренный пунктом 9.4 Договора, оплачивается Поставщиком в течение 10 (десяти) рабочих дней с даты получения соответствующего письменного требования Покупателя. Покупатель вправе предъявить требование об уплате штрафа вне зависимости от на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правления уведомления об отказе от Договора (исполнения Договора), предусмотренного пунктом 9.3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Покупатель вправе приостановить осуществление любых платежей по Договору, причитающихся Поставщику, независимо от наличия оснований и наступления сроков таких платежей, до уплаты Поставщиком штрафа, предусмотренного пунктом 9.4 Договора. При этом Покуп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атель не будет считаться просрочившим и/ или нарушившим свои обязательства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9.7.</w:t>
        <w:tab/>
        <w:t xml:space="preserve">Независимо от других положений Договора, положения пунктов 9.4, 9.5 Договора продолжают действовать в течение 4 (четырех) лет после его прекращения (расторжения) или исполнения.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10.</w:t>
        <w:tab/>
        <w:t xml:space="preserve">Заверения Сторон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10.1.</w:t>
        <w:tab/>
        <w:t xml:space="preserve">Каждая из Сторон заявляет и подтверждает другой Стороне, что: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является юридическим лицом/ индивидуальным предпринимателем,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она получила все корпоративные одобрения Договора органами управления 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и иных лиц, необходимые дл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я заключения и исполнения Договора;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лица, подписывающие от имени Сторон Договор, надлежащим образом уполномочены на его подписание;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10.2.</w:t>
        <w:tab/>
        <w:t xml:space="preserve">Поставщик заявляет и заверяет Покупателя в том, что на момент заключения Договора: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учредителем/ учредителями Поставщика являются лица, не являющиеся массовыми учредителем/ учредителями;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руководителем Поставщика является лицо, не являющееся массовым руководителем;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фактически находится по адресу, указанному в Едином государственном реестре юридических лиц;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своевременно и в полном объеме уплачивает налоги и сборы в соответствии с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Поставщик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власти и должностных лиц, иные обстоятельства способные повлиять на возможность Поставщика должным образом исполнять обязательства, возникающие из Договору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Поставщик тщательно изучил всю информацию, связанную с Договором, в том числе по вопросам, влияющим на сроки, стоимость и качество Товара, полностью ознакомлен со всеми условиями поставки Товара, и принимает на себя все расходы, риски и трудности исполнен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обязательств, возникающих из Договора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вся информация, предоставленная Покупателю, является достоверной, полной и точной, и Поставщик не скрыл никаких обстоятельств, которые при их обнаружении могли бы негативно повлиять на решение Покупателя заключить Договор на указанных в нем условиях.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10.3.</w:t>
        <w:tab/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0.4.</w:t>
        <w:tab/>
        <w:t xml:space="preserve">В случае, если Поставщик при заключении Договора предоставил Покупателю недостоверные заверения о любом из указанных в настоящем разделе Договора обстоятельств, имеющих существенное значение для заключения и исполнения Договора, Поставщик обязан по пи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сьменному требованию Покупателя уплатить последнему штраф в размере 5 (пяти) процентов от Цены Договора, указанной в пункте 2.1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0.5.</w:t>
        <w:tab/>
        <w:t xml:space="preserve">Недостоверность,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/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11.</w:t>
        <w:tab/>
        <w:t xml:space="preserve">Прекращение (расторжение) Договора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1.1.</w:t>
        <w:tab/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13.7 Договора, с приложением подписанного согла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шения о расторжении Договора. Уведомление должно быть рассмотрено Стороной–получателем в течение 30 (тридцати) календарных дней со дня его получения.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1.2.</w:t>
        <w:tab/>
        <w:t xml:space="preserve">Покупатель вправе в одностороннем внесудебном порядке отказаться от Договора при условии обязательного направления письменного уведомления об этом Поставщику не позднее чем за 30 (тридцать) календарных дней до предполагаемой даты расторжения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11.3.</w:t>
        <w:tab/>
        <w:t xml:space="preserve">В случае существенного нарушения Договора Поставщиком Покупатель вправе в одностороннем внесудебном порядке отказаться от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Стороны установили, что существенным нарушением Договора Поставщиком является: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нарушение Поставщиком общего срока поставки Товара по Договору, а также  сроков поставки Товара (партий Товара) по заявке, более чем на 60 (шестьдесят) календарных дней по причинам, не зависящим от Покупателя;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 более чем на 60 (шестьдесят) календарных дней, либо такие недостатки (дефекты) являются не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устранимыми;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наложение ареста на имущество Поставщика, введение арбитражным судом процедуры несостоятельности (банкротства) в отношении Поставщика;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установление в ходе исполнения Договора фактов несоответствия Поставщика установленным 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неточности или неполноты заверений Поставщика об обстоятельствах, указанных в разделе 10 Договора, и имеющих существенное значение для его заключения и исполнения.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1.4.</w:t>
        <w:tab/>
        <w:t xml:space="preserve">В случае отказа Покупателя от Договора в случаях, предусмотренных пунктами 11.2, 11.3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оговора).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11.5.</w:t>
        <w:tab/>
        <w:t xml:space="preserve">С даты прекращения (расторжения) Договора Поставщик обязан прекратить поставку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1.6.</w:t>
        <w:tab/>
        <w:t xml:space="preserve">При прекращении (расторжении) Договора по основаниям, указанным в настоящем разделе Договора, все обязательства Сторон по Договору считаются прекратившимися, за исключением обязательств по незавершенным расчетам, гарантийным обязательствам Поставщика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соответствии с разделом 5 Договора, а также обязательств Поставщика по оплате неустойки, штрафов, возмещению убытков в случаях и размерах, предусмотренных Договором.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12.</w:t>
        <w:tab/>
        <w:t xml:space="preserve">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12.1.</w:t>
        <w:tab/>
        <w:t xml:space="preserve">Все споры, разногласия и требования, возникающие между Сторонами 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12.2.</w:t>
        <w:tab/>
        <w:t xml:space="preserve">Споры, указанные в пункте 12.1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2.3.</w:t>
        <w:tab/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предусмотренном пунктом 13.7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12.4.</w:t>
        <w:tab/>
        <w:t xml:space="preserve">Срок для рассмотрения претензии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12.5.</w:t>
        <w:tab/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13.</w:t>
        <w:tab/>
        <w:t xml:space="preserve">Заключительные положения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13.1.</w:t>
        <w:tab/>
        <w:t xml:space="preserve">Договор вступает в силу с даты его подписания Сторонами и действует по 29.01.2027г., а в части не исполненных обязательств - до полного их исполнения Сторонами.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3.2.</w:t>
        <w:tab/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ктом 13.6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13.3.</w:t>
        <w:tab/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13.4.</w:t>
        <w:tab/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3.5.</w:t>
        <w:tab/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13.7 Договора. Использование средств факсимильной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13.6.</w:t>
        <w:tab/>
        <w:t xml:space="preserve">Стороны обязуются уведомлять друг друга об изменении адреса и/ или реквизитов, указанных в разделе 15 Договора, не позднее 3 (трех) рабочих дней после такого изменения в порядке, установленном пунктом 13.7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13.7.</w:t>
        <w:tab/>
        <w:t xml:space="preserve">Письма, уведомления и/ или сообщения направляются Стороне-получателю следующими способами: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3.7.1.</w:t>
        <w:tab/>
        <w:t xml:space="preserve">Заказным почтовым отправлением с уведомлением о вручении по адресу ее места нахождения/ почтовому адресу, указанному в разделе 15 Договора, или в ранее полученном уведомлении Стороны об изменении адреса – в дату фактического вручения почтового отпра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3.7.2.</w:t>
        <w:tab/>
        <w:t xml:space="preserve">Доставкой лично или курьером Стороны-отправителя по адресу ее места нахождения/ почтовому адресу, указанному в разделе 15 Договора, или в ранее полученном уведомлении Стороны об изменении адреса – в дату и время фактического приема уведомления Сторо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ной-получателем с отметкой о получении;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13.7.3.</w:t>
        <w:tab/>
        <w:t xml:space="preserve">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13.7.1 – 13.7.2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3.8.</w:t>
        <w:tab/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возможности реализовать это право в будущем.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13.9.</w:t>
        <w:tab/>
        <w:t xml:space="preserve">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3.10.</w:t>
        <w:tab/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//www.diadoc.ru/).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операторов, инициирует настройку роуминга между опер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аторами систем электронного документооборота Сторон.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13.11.</w:t>
        <w:tab/>
        <w:t xml:space="preserve">Во всем остальном, что не урегулировано Договором, Стороны руководствуются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13.12.</w:t>
        <w:tab/>
      </w:r>
      <w:r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(далее – УКЭП) 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уполномоченных представителей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14.</w:t>
        <w:tab/>
        <w:t xml:space="preserve">Список приложений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63"/>
        <w:ind w:left="0" w:right="0" w:firstLine="56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1 – Спецификация;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2 – Форма Заявки на поставку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3 -  Условия 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езависимой гарантии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3.1 -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Независимая гарантия (типовая форма)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63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3.2 –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Требования по уплате денежных средств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6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4 - Форма акта приемки независимой  гарантии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4"/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15. </w:t>
      </w:r>
      <w:r>
        <w:rPr>
          <w:rFonts w:ascii="Times New Roman" w:hAnsi="Times New Roman" w:cs="Times New Roman"/>
          <w:b/>
          <w:bCs/>
        </w:rPr>
        <w:t xml:space="preserve">Местонахождение и банковские реквизиты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64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9682" w:type="dxa"/>
        <w:tblLook w:val="0000" w:firstRow="0" w:lastRow="0" w:firstColumn="0" w:lastColumn="0" w:noHBand="0" w:noVBand="0"/>
      </w:tblPr>
      <w:tblGrid>
        <w:gridCol w:w="4753"/>
        <w:gridCol w:w="4929"/>
      </w:tblGrid>
      <w:tr>
        <w:tblPrEx/>
        <w:trPr>
          <w:trHeight w:val="300"/>
        </w:trPr>
        <w:tc>
          <w:tcPr>
            <w:tcW w:w="4753" w:type="dxa"/>
            <w:textDirection w:val="lrTb"/>
            <w:noWrap w:val="false"/>
          </w:tcPr>
          <w:p>
            <w:pPr>
              <w:pStyle w:val="858"/>
              <w:ind w:left="0" w:right="0" w:firstLine="567"/>
            </w:pPr>
            <w:r>
              <w:t xml:space="preserve">Покупатель: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64"/>
              <w:ind w:left="0" w:right="0" w:firstLine="56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Поставщик: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64"/>
              <w:ind w:left="0" w:right="0"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00"/>
        </w:trPr>
        <w:tc>
          <w:tcPr>
            <w:tcW w:w="4753" w:type="dxa"/>
            <w:textDirection w:val="lrTb"/>
            <w:noWrap w:val="false"/>
          </w:tcPr>
          <w:p>
            <w:pPr>
              <w:pStyle w:val="858"/>
              <w:ind w:left="0" w:right="0" w:firstLine="567"/>
            </w:pPr>
            <w:r>
              <w:t xml:space="preserve">АО «ДГК»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64"/>
              <w:ind w:left="0" w:right="0"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435"/>
        </w:trPr>
        <w:tc>
          <w:tcPr>
            <w:tcW w:w="4753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АО «</w:t>
            </w:r>
            <w:r>
              <w:rPr>
                <w:b/>
                <w:sz w:val="24"/>
                <w:szCs w:val="24"/>
                <w:highlight w:val="none"/>
              </w:rPr>
              <w:t xml:space="preserve">ДГК»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Место нахождения: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Российская Федерация</w:t>
            </w:r>
            <w:r>
              <w:rPr>
                <w:sz w:val="24"/>
                <w:szCs w:val="24"/>
                <w:highlight w:val="none"/>
              </w:rPr>
              <w:t xml:space="preserve">, г. </w:t>
            </w:r>
            <w:r>
              <w:rPr>
                <w:sz w:val="24"/>
                <w:szCs w:val="24"/>
                <w:highlight w:val="none"/>
              </w:rPr>
              <w:t xml:space="preserve">Хабаровск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Адрес: 6</w:t>
            </w:r>
            <w:r>
              <w:rPr>
                <w:sz w:val="24"/>
                <w:szCs w:val="24"/>
                <w:highlight w:val="none"/>
              </w:rPr>
              <w:t xml:space="preserve">8</w:t>
            </w:r>
            <w:r>
              <w:rPr>
                <w:sz w:val="24"/>
                <w:szCs w:val="24"/>
                <w:highlight w:val="none"/>
              </w:rPr>
              <w:t xml:space="preserve">00</w:t>
            </w:r>
            <w:r>
              <w:rPr>
                <w:sz w:val="24"/>
                <w:szCs w:val="24"/>
                <w:highlight w:val="none"/>
              </w:rPr>
              <w:t xml:space="preserve">00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Хабаров</w:t>
            </w:r>
            <w:r>
              <w:rPr>
                <w:sz w:val="24"/>
                <w:szCs w:val="24"/>
                <w:highlight w:val="none"/>
              </w:rPr>
              <w:t xml:space="preserve">ский край,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 </w:t>
            </w:r>
            <w:r>
              <w:rPr>
                <w:sz w:val="24"/>
                <w:szCs w:val="24"/>
                <w:highlight w:val="none"/>
              </w:rPr>
              <w:t xml:space="preserve">Хабаровск</w:t>
            </w:r>
            <w:r>
              <w:rPr>
                <w:sz w:val="24"/>
                <w:szCs w:val="24"/>
                <w:highlight w:val="none"/>
              </w:rPr>
              <w:t xml:space="preserve">, ул. </w:t>
            </w:r>
            <w:r>
              <w:rPr>
                <w:sz w:val="24"/>
                <w:szCs w:val="24"/>
                <w:highlight w:val="none"/>
              </w:rPr>
              <w:t xml:space="preserve">Фрунзе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д.49.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ОГРН 1051401746769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ИНН 1434031363</w:t>
            </w:r>
            <w:r>
              <w:rPr>
                <w:sz w:val="24"/>
                <w:szCs w:val="24"/>
                <w:highlight w:val="none"/>
              </w:rPr>
              <w:t xml:space="preserve">/ КПП 272101001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КПП КН 997650001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расчетного счета)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(наименование банка, в котором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открыт счет)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корреспондентского счета банка)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  <w:t xml:space="preserve">(БИК банка)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телефона)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________________________________________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(адрес эл/почты)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64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4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4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98"/>
        </w:trPr>
        <w:tc>
          <w:tcPr>
            <w:tcW w:w="4753" w:type="dxa"/>
            <w:textDirection w:val="lrTb"/>
            <w:noWrap w:val="false"/>
          </w:tcPr>
          <w:p>
            <w:pPr>
              <w:pStyle w:val="864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64"/>
              <w:ind w:left="0" w:right="0" w:firstLine="0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______________</w:t>
            </w:r>
            <w:r>
              <w:rPr>
                <w:rFonts w:ascii="Times New Roman" w:hAnsi="Times New Roman" w:cs="Times New Roman"/>
              </w:rPr>
              <w:t xml:space="preserve">_ 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  <w:t xml:space="preserve">___________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64"/>
              <w:ind w:left="0" w:righ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_______________/__________/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64"/>
        <w:ind w:left="0" w:righ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7" w:h="16840" w:orient="portrait"/>
      <w:pgMar w:top="851" w:right="851" w:bottom="851" w:left="1418" w:header="720" w:footer="28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9"/>
      <w:numFmt w:val="decimal"/>
      <w:isLgl/>
      <w:suff w:val="tab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pStyle w:val="878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879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859"/>
    <w:link w:val="858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57"/>
    <w:next w:val="857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basedOn w:val="859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57"/>
    <w:next w:val="857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basedOn w:val="859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57"/>
    <w:next w:val="85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basedOn w:val="85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57"/>
    <w:next w:val="857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basedOn w:val="859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57"/>
    <w:next w:val="857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basedOn w:val="859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57"/>
    <w:next w:val="857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basedOn w:val="859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57"/>
    <w:next w:val="857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basedOn w:val="859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57"/>
    <w:next w:val="857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basedOn w:val="859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Title"/>
    <w:basedOn w:val="857"/>
    <w:next w:val="857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basedOn w:val="859"/>
    <w:link w:val="705"/>
    <w:uiPriority w:val="10"/>
    <w:rPr>
      <w:sz w:val="48"/>
      <w:szCs w:val="48"/>
    </w:rPr>
  </w:style>
  <w:style w:type="paragraph" w:styleId="707">
    <w:name w:val="Subtitle"/>
    <w:basedOn w:val="857"/>
    <w:next w:val="857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59"/>
    <w:link w:val="707"/>
    <w:uiPriority w:val="11"/>
    <w:rPr>
      <w:sz w:val="24"/>
      <w:szCs w:val="24"/>
    </w:rPr>
  </w:style>
  <w:style w:type="paragraph" w:styleId="709">
    <w:name w:val="Quote"/>
    <w:basedOn w:val="857"/>
    <w:next w:val="857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57"/>
    <w:next w:val="857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character" w:styleId="713">
    <w:name w:val="Header Char"/>
    <w:basedOn w:val="859"/>
    <w:link w:val="874"/>
    <w:uiPriority w:val="99"/>
  </w:style>
  <w:style w:type="character" w:styleId="714">
    <w:name w:val="Footer Char"/>
    <w:basedOn w:val="859"/>
    <w:link w:val="872"/>
    <w:uiPriority w:val="99"/>
  </w:style>
  <w:style w:type="paragraph" w:styleId="715">
    <w:name w:val="Caption"/>
    <w:basedOn w:val="857"/>
    <w:next w:val="857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872"/>
    <w:uiPriority w:val="99"/>
  </w:style>
  <w:style w:type="table" w:styleId="717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6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7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8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9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0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1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Footnote Text Char"/>
    <w:link w:val="868"/>
    <w:uiPriority w:val="99"/>
    <w:rPr>
      <w:sz w:val="18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sz w:val="24"/>
    </w:rPr>
  </w:style>
  <w:style w:type="paragraph" w:styleId="858">
    <w:name w:val="Heading 1"/>
    <w:basedOn w:val="857"/>
    <w:next w:val="857"/>
    <w:link w:val="885"/>
    <w:uiPriority w:val="9"/>
    <w:qFormat/>
    <w:pPr>
      <w:jc w:val="center"/>
      <w:keepNext/>
      <w:outlineLvl w:val="0"/>
    </w:pPr>
    <w:rPr>
      <w:b/>
      <w:szCs w:val="24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Title"/>
    <w:rPr>
      <w:rFonts w:ascii="Arial" w:hAnsi="Arial" w:cs="Arial"/>
      <w:b/>
      <w:bCs/>
      <w:sz w:val="16"/>
      <w:szCs w:val="16"/>
    </w:rPr>
  </w:style>
  <w:style w:type="paragraph" w:styleId="863" w:customStyle="1">
    <w:name w:val="ConsNonformat"/>
    <w:rPr>
      <w:rFonts w:ascii="Courier New" w:hAnsi="Courier New" w:cs="Courier New"/>
    </w:rPr>
  </w:style>
  <w:style w:type="paragraph" w:styleId="864" w:customStyle="1">
    <w:name w:val="ConsNormal"/>
    <w:link w:val="876"/>
    <w:pPr>
      <w:ind w:firstLine="720"/>
    </w:pPr>
    <w:rPr>
      <w:rFonts w:ascii="Arial" w:hAnsi="Arial" w:cs="Arial"/>
      <w:sz w:val="24"/>
      <w:szCs w:val="24"/>
    </w:rPr>
  </w:style>
  <w:style w:type="paragraph" w:styleId="865" w:customStyle="1">
    <w:name w:val="ConsCell"/>
    <w:rPr>
      <w:rFonts w:ascii="Arial" w:hAnsi="Arial" w:cs="Arial"/>
      <w:sz w:val="24"/>
      <w:szCs w:val="24"/>
    </w:rPr>
  </w:style>
  <w:style w:type="paragraph" w:styleId="866">
    <w:name w:val="Body Text Indent"/>
    <w:basedOn w:val="857"/>
    <w:semiHidden/>
    <w:pPr>
      <w:ind w:firstLine="720"/>
      <w:jc w:val="both"/>
    </w:pPr>
    <w:rPr>
      <w:sz w:val="28"/>
    </w:rPr>
  </w:style>
  <w:style w:type="paragraph" w:styleId="867">
    <w:name w:val="Body Text"/>
    <w:basedOn w:val="857"/>
    <w:semiHidden/>
    <w:pPr>
      <w:jc w:val="both"/>
    </w:pPr>
    <w:rPr>
      <w:szCs w:val="24"/>
    </w:rPr>
  </w:style>
  <w:style w:type="paragraph" w:styleId="868">
    <w:name w:val="footnote text"/>
    <w:basedOn w:val="857"/>
    <w:link w:val="880"/>
    <w:uiPriority w:val="99"/>
    <w:rPr>
      <w:sz w:val="20"/>
    </w:rPr>
  </w:style>
  <w:style w:type="character" w:styleId="869">
    <w:name w:val="footnote reference"/>
    <w:semiHidden/>
    <w:rPr>
      <w:vertAlign w:val="superscript"/>
    </w:rPr>
  </w:style>
  <w:style w:type="character" w:styleId="870">
    <w:name w:val="annotation reference"/>
    <w:semiHidden/>
    <w:rPr>
      <w:sz w:val="16"/>
      <w:szCs w:val="16"/>
    </w:rPr>
  </w:style>
  <w:style w:type="paragraph" w:styleId="871">
    <w:name w:val="annotation text"/>
    <w:basedOn w:val="857"/>
    <w:semiHidden/>
    <w:rPr>
      <w:sz w:val="20"/>
    </w:rPr>
  </w:style>
  <w:style w:type="paragraph" w:styleId="872">
    <w:name w:val="Footer"/>
    <w:basedOn w:val="857"/>
    <w:link w:val="884"/>
    <w:uiPriority w:val="99"/>
    <w:pPr>
      <w:tabs>
        <w:tab w:val="center" w:pos="4677" w:leader="none"/>
        <w:tab w:val="right" w:pos="9355" w:leader="none"/>
      </w:tabs>
    </w:pPr>
  </w:style>
  <w:style w:type="character" w:styleId="873">
    <w:name w:val="page number"/>
    <w:basedOn w:val="859"/>
    <w:semiHidden/>
  </w:style>
  <w:style w:type="paragraph" w:styleId="874">
    <w:name w:val="Header"/>
    <w:basedOn w:val="857"/>
    <w:semiHidden/>
    <w:pPr>
      <w:tabs>
        <w:tab w:val="center" w:pos="4677" w:leader="none"/>
        <w:tab w:val="right" w:pos="9355" w:leader="none"/>
      </w:tabs>
    </w:pPr>
  </w:style>
  <w:style w:type="paragraph" w:styleId="875">
    <w:name w:val="Balloon Text"/>
    <w:basedOn w:val="857"/>
    <w:semiHidden/>
    <w:rPr>
      <w:rFonts w:ascii="Tahoma" w:hAnsi="Tahoma" w:cs="Tahoma"/>
      <w:sz w:val="16"/>
      <w:szCs w:val="16"/>
    </w:rPr>
  </w:style>
  <w:style w:type="character" w:styleId="876" w:customStyle="1">
    <w:name w:val="ConsNormal Знак"/>
    <w:link w:val="864"/>
    <w:rPr>
      <w:rFonts w:ascii="Arial" w:hAnsi="Arial" w:cs="Arial"/>
      <w:sz w:val="24"/>
      <w:szCs w:val="24"/>
    </w:rPr>
  </w:style>
  <w:style w:type="paragraph" w:styleId="877">
    <w:name w:val="Normal (Web)"/>
    <w:basedOn w:val="857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878" w:customStyle="1">
    <w:name w:val="Пункт_1"/>
    <w:basedOn w:val="857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879" w:customStyle="1">
    <w:name w:val="Пункт_2"/>
    <w:basedOn w:val="857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880" w:customStyle="1">
    <w:name w:val="Текст сноски Знак"/>
    <w:link w:val="868"/>
    <w:uiPriority w:val="99"/>
  </w:style>
  <w:style w:type="paragraph" w:styleId="881" w:customStyle="1">
    <w:name w:val="Таблица текст"/>
    <w:basedOn w:val="857"/>
    <w:pPr>
      <w:ind w:left="57" w:right="57"/>
      <w:spacing w:before="40" w:after="40"/>
    </w:pPr>
  </w:style>
  <w:style w:type="paragraph" w:styleId="882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table" w:styleId="883">
    <w:name w:val="Table Grid"/>
    <w:basedOn w:val="860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4" w:customStyle="1">
    <w:name w:val="Нижний колонтитул Знак"/>
    <w:link w:val="872"/>
    <w:uiPriority w:val="99"/>
    <w:rPr>
      <w:sz w:val="24"/>
    </w:rPr>
  </w:style>
  <w:style w:type="character" w:styleId="885" w:customStyle="1">
    <w:name w:val="Заголовок 1 Знак"/>
    <w:basedOn w:val="859"/>
    <w:link w:val="858"/>
    <w:uiPriority w:val="9"/>
    <w:rPr>
      <w:b/>
      <w:sz w:val="24"/>
      <w:szCs w:val="24"/>
    </w:rPr>
  </w:style>
  <w:style w:type="paragraph" w:styleId="886" w:customStyle="1">
    <w:name w:val="Default"/>
    <w:rPr>
      <w:color w:val="000000"/>
      <w:sz w:val="24"/>
      <w:szCs w:val="24"/>
    </w:rPr>
  </w:style>
  <w:style w:type="paragraph" w:styleId="887">
    <w:name w:val="List Paragraph"/>
    <w:basedOn w:val="857"/>
    <w:uiPriority w:val="34"/>
    <w:qFormat/>
    <w:pPr>
      <w:contextualSpacing/>
      <w:ind w:left="720"/>
    </w:pPr>
  </w:style>
  <w:style w:type="paragraph" w:styleId="888" w:customStyle="1">
    <w:name w:val="Знак Знак Знак2 Знак1"/>
    <w:basedOn w:val="85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889">
    <w:name w:val="Hyperlink"/>
    <w:rPr>
      <w:color w:val="0066cc"/>
      <w:u w:val="single"/>
    </w:rPr>
  </w:style>
  <w:style w:type="character" w:styleId="890" w:customStyle="1">
    <w:name w:val="Сноска (2)_"/>
    <w:link w:val="891"/>
    <w:rPr>
      <w:shd w:val="clear" w:color="auto" w:fill="ffffff"/>
    </w:rPr>
  </w:style>
  <w:style w:type="paragraph" w:styleId="891" w:customStyle="1">
    <w:name w:val="Сноска (2)"/>
    <w:basedOn w:val="857"/>
    <w:link w:val="890"/>
    <w:pPr>
      <w:spacing w:before="300" w:after="480" w:line="0" w:lineRule="atLeast"/>
      <w:shd w:val="clear" w:color="auto" w:fill="ffffff"/>
    </w:pPr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C8CD-DAF4-4DC9-BDCA-6E8E4E0D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Хабаровскэрго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subject/>
  <dc:creator>Глухих Павел Александрович</dc:creator>
  <cp:keywords/>
  <cp:lastModifiedBy>ulyanov_dv</cp:lastModifiedBy>
  <cp:revision>91</cp:revision>
  <dcterms:created xsi:type="dcterms:W3CDTF">2021-06-24T23:18:00Z</dcterms:created>
  <dcterms:modified xsi:type="dcterms:W3CDTF">2026-02-04T23:29:27Z</dcterms:modified>
</cp:coreProperties>
</file>